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7B" w:rsidRPr="00831502" w:rsidRDefault="0095177B" w:rsidP="0095177B">
      <w:pPr>
        <w:rPr>
          <w:rFonts w:eastAsia="Times New Roman"/>
          <w:noProof/>
          <w:sz w:val="32"/>
          <w:szCs w:val="32"/>
          <w:lang w:eastAsia="ru-RU"/>
        </w:rPr>
      </w:pPr>
      <w:r w:rsidRPr="00831502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831502">
        <w:rPr>
          <w:rFonts w:eastAsia="Times New Roman"/>
          <w:noProof/>
          <w:lang w:eastAsia="ru-RU"/>
        </w:rPr>
        <w:drawing>
          <wp:inline distT="0" distB="0" distL="0" distR="0" wp14:anchorId="21FBEF87" wp14:editId="5920D200">
            <wp:extent cx="506730" cy="629285"/>
            <wp:effectExtent l="0" t="0" r="7620" b="0"/>
            <wp:docPr id="1" name="Рисунок 3" descr="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02">
        <w:rPr>
          <w:rFonts w:eastAsia="Times New Roman"/>
          <w:noProof/>
          <w:lang w:eastAsia="ru-RU"/>
        </w:rPr>
        <w:t xml:space="preserve">                            </w:t>
      </w:r>
    </w:p>
    <w:p w:rsidR="0095177B" w:rsidRPr="00831502" w:rsidRDefault="0095177B" w:rsidP="0095177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95177B" w:rsidRPr="00831502" w:rsidRDefault="0095177B" w:rsidP="0095177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95177B" w:rsidRPr="00831502" w:rsidTr="00521BC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5177B" w:rsidRPr="00831502" w:rsidRDefault="0095177B" w:rsidP="0052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1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177B" w:rsidRPr="00831502" w:rsidRDefault="0095177B" w:rsidP="00951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 xml:space="preserve">.2019                               с. </w:t>
      </w:r>
      <w:proofErr w:type="spellStart"/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29</w:t>
      </w:r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95177B" w:rsidRPr="00831502" w:rsidRDefault="0095177B" w:rsidP="00951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 год муниципального образования</w:t>
      </w: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ст. 27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постановляю:</w:t>
      </w:r>
    </w:p>
    <w:p w:rsidR="0095177B" w:rsidRDefault="0095177B" w:rsidP="00951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 на 2020 год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согласно приложению.</w:t>
      </w:r>
    </w:p>
    <w:p w:rsidR="0095177B" w:rsidRDefault="0095177B" w:rsidP="00951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95177B" w:rsidRDefault="0095177B" w:rsidP="0095177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 обнародования и распространяется на правоотношения, возникшие с 1 января 2020 года.</w:t>
      </w:r>
    </w:p>
    <w:p w:rsidR="0095177B" w:rsidRDefault="0095177B" w:rsidP="009517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77B" w:rsidRDefault="0095177B" w:rsidP="0095177B">
      <w:pPr>
        <w:keepNext/>
        <w:keepLines/>
        <w:spacing w:before="200" w:after="0"/>
        <w:ind w:firstLine="142"/>
        <w:outlineLvl w:val="7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Глава администрации                                                          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Ю.Е.Переседов</w:t>
      </w:r>
      <w:proofErr w:type="spellEnd"/>
    </w:p>
    <w:p w:rsidR="0095177B" w:rsidRDefault="0095177B" w:rsidP="0095177B">
      <w:pPr>
        <w:rPr>
          <w:rFonts w:eastAsia="Times New Roman"/>
          <w:lang w:eastAsia="ru-RU"/>
        </w:rPr>
      </w:pPr>
    </w:p>
    <w:p w:rsidR="0095177B" w:rsidRDefault="0095177B" w:rsidP="0095177B">
      <w:pPr>
        <w:shd w:val="clear" w:color="auto" w:fill="FFFFFF"/>
        <w:tabs>
          <w:tab w:val="left" w:pos="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Разослано:  прокурору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дело. </w:t>
      </w:r>
    </w:p>
    <w:p w:rsidR="0095177B" w:rsidRDefault="0095177B" w:rsidP="0095177B">
      <w:pPr>
        <w:spacing w:after="120"/>
        <w:ind w:left="1560" w:hanging="141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77B" w:rsidRDefault="0095177B" w:rsidP="009517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77B" w:rsidRDefault="0095177B" w:rsidP="009517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77B" w:rsidRDefault="0095177B" w:rsidP="009517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77B" w:rsidRDefault="0095177B" w:rsidP="009517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5177B" w:rsidRDefault="0095177B" w:rsidP="0095177B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01.12.2019 №  29</w:t>
      </w:r>
    </w:p>
    <w:p w:rsidR="0095177B" w:rsidRDefault="0095177B" w:rsidP="009517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 НАПРАВЛЕНИЯ</w:t>
      </w: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БЮДЖЕТНОЙ И НАЛОГОВОЙ ПОЛИТИКИ НА 2020 ГОД</w:t>
      </w:r>
    </w:p>
    <w:p w:rsidR="0095177B" w:rsidRDefault="0095177B" w:rsidP="009517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77B" w:rsidRDefault="0095177B" w:rsidP="0095177B">
      <w:pPr>
        <w:spacing w:after="1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 xml:space="preserve">Основные направления бюджетной и налоговой политики  на </w:t>
      </w:r>
      <w:r>
        <w:rPr>
          <w:rFonts w:ascii="Times New Roman" w:hAnsi="Times New Roman"/>
          <w:color w:val="3C3C3C"/>
          <w:sz w:val="28"/>
          <w:szCs w:val="28"/>
        </w:rPr>
        <w:t xml:space="preserve"> 2020 год и на плановый период 2021 и 2022 годов подготовлены в соответствии с требованиями Бюджетного кодекса Российской Федерации,</w:t>
      </w:r>
      <w:r>
        <w:rPr>
          <w:rFonts w:ascii="Roboto" w:hAnsi="Roboto" w:cs="Arial"/>
          <w:color w:val="3C3C3C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стратегии развития Оренбургской области до 2020 года и на период до 2030 года,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район» до 2025 года и с учетом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 сельсовет  в 2020 году.</w:t>
      </w:r>
      <w:proofErr w:type="gramEnd"/>
    </w:p>
    <w:p w:rsidR="0095177B" w:rsidRDefault="0095177B" w:rsidP="0095177B">
      <w:pPr>
        <w:spacing w:after="12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Основные направления бюджетной политики.</w:t>
      </w:r>
    </w:p>
    <w:p w:rsidR="0095177B" w:rsidRDefault="0095177B" w:rsidP="0095177B">
      <w:pPr>
        <w:spacing w:after="120"/>
        <w:ind w:firstLine="90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Бюджетная политика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сельсовета  на 2020 год и на плановый период 2010–2022 годов в части расходов обеспечивает сохранение преемственности определенных ранее приоритетов и их достижений и направлена  на:</w:t>
      </w:r>
      <w:r>
        <w:rPr>
          <w:rFonts w:ascii="Times New Roman" w:hAnsi="Times New Roman"/>
          <w:color w:val="3C3C3C"/>
          <w:sz w:val="28"/>
          <w:szCs w:val="28"/>
        </w:rPr>
        <w:br/>
        <w:t>- 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  <w:r>
        <w:rPr>
          <w:rFonts w:ascii="Times New Roman" w:hAnsi="Times New Roman"/>
          <w:color w:val="3C3C3C"/>
          <w:sz w:val="28"/>
          <w:szCs w:val="28"/>
        </w:rPr>
        <w:br/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  <w:r>
        <w:rPr>
          <w:rFonts w:ascii="Times New Roman" w:hAnsi="Times New Roman"/>
          <w:color w:val="3C3C3C"/>
          <w:sz w:val="28"/>
          <w:szCs w:val="28"/>
        </w:rPr>
        <w:br/>
        <w:t>- введение режима экономии электр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, расходных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ма-териалов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, горюче-смазочных материалов, услуг связи;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 xml:space="preserve">недопущение роста расходов на оплату коммунальных услуг за счет оптимизации их потребления и повышения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>;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- сохранение достигнутого уровня предоставления муниципальных услуг (работ) и недопущение снижения качества их предоставления в целях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обеспечения комфортных условий для проживания населения в поселении;</w:t>
      </w:r>
      <w:r>
        <w:rPr>
          <w:rFonts w:ascii="Times New Roman" w:hAnsi="Times New Roman"/>
          <w:color w:val="3C3C3C"/>
          <w:sz w:val="28"/>
          <w:szCs w:val="28"/>
        </w:rPr>
        <w:br/>
        <w:t>- совершенствование муниципального контроля с целью его ориентации на оценку эффективности расходов бюджета поселения;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br/>
        <w:t>- продолжить работу по повышению роли среднесрочного финансового планирования в соответствии с новыми требованиями;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повышение прозрачности муниципальных финансов возможно при условии открытости финансовой информации (размещение в средствах массовой информации проектов бюджетов поселения и регулярных отчетов об их исполнении),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расходов, а также формирования реестров расходных обязательств сельского поселения и предоставления их финансовым органам муниципального района;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br/>
        <w:t>- содействие региональным и районным властям в реализации приоритетных национальных проектов, создающих основу для решения назревших проблем повышения качества образования, улучшения здоровья населения, обеспечения граждан доступным и комфортным жильем, формирования достойных условий жизни на селе и развития агропромышленного производства;</w:t>
      </w:r>
      <w:r>
        <w:rPr>
          <w:rFonts w:ascii="Times New Roman" w:hAnsi="Times New Roman"/>
          <w:color w:val="3C3C3C"/>
          <w:sz w:val="28"/>
          <w:szCs w:val="28"/>
        </w:rPr>
        <w:br/>
        <w:t>- обеспечение соблюдения нормативов расходов на содержание органов местного самоуправления;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 </w:t>
      </w:r>
      <w:r>
        <w:rPr>
          <w:rFonts w:ascii="Times New Roman" w:hAnsi="Times New Roman"/>
          <w:color w:val="3C3C3C"/>
          <w:sz w:val="28"/>
          <w:szCs w:val="28"/>
        </w:rPr>
        <w:br/>
        <w:t>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расходов.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имеющихся для их реализации финансовых результатов.</w:t>
      </w:r>
      <w:r>
        <w:rPr>
          <w:rFonts w:ascii="Times New Roman" w:hAnsi="Times New Roman"/>
          <w:color w:val="3C3C3C"/>
          <w:sz w:val="28"/>
          <w:szCs w:val="28"/>
        </w:rPr>
        <w:br/>
        <w:t>Утверждение условно утверждаемых (утвержденных) расходов бюджета поселения.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          Основная задача бюджетной политики на 2019 год и плановый период 2020 и 2021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я достижения конечных измеримых,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общественно значимых результатов.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           В части межбюджетных отношений работа будет направлена на эффективное выполнение полномочий в соответствии с заключенными соглашениями.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           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экономики, решение социальных вопросов. </w:t>
      </w:r>
      <w:r>
        <w:rPr>
          <w:rFonts w:ascii="Times New Roman" w:eastAsia="Times New Roman" w:hAnsi="Times New Roman"/>
          <w:sz w:val="28"/>
          <w:lang w:eastAsia="ru-RU"/>
        </w:rPr>
        <w:t>Уточнение бюджетных ассигнований на 2020 год и формирование расходов  бюджета  предполагается осуществить исходя из следующих основных подходов:</w:t>
      </w:r>
    </w:p>
    <w:p w:rsidR="0095177B" w:rsidRDefault="0095177B" w:rsidP="0095177B">
      <w:pPr>
        <w:spacing w:after="120"/>
        <w:ind w:firstLine="90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1) базовые объемы бюджетных ассигнований на 2020-2022 годы определяются исходя из ассигнований, утвержденных решением Совета депутатов «О  бюджете поселения на 2020 год;</w:t>
      </w:r>
    </w:p>
    <w:p w:rsidR="0095177B" w:rsidRDefault="0095177B" w:rsidP="0095177B">
      <w:pPr>
        <w:spacing w:after="120"/>
        <w:ind w:firstLine="90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2) базовые объемы бюджетных ассигнований на 2020 год определяются исходя из необходимости финансового обеспечения установленных расходных обязательств;</w:t>
      </w:r>
    </w:p>
    <w:p w:rsidR="0095177B" w:rsidRDefault="0095177B" w:rsidP="0095177B">
      <w:pPr>
        <w:spacing w:after="12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Основные направления налоговой политики.</w:t>
      </w:r>
    </w:p>
    <w:p w:rsidR="0095177B" w:rsidRDefault="0095177B" w:rsidP="0095177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того чтобы в полном объеме финансировать социальные обязательства, выполнять социальные программы, необходимо иметь в бюджете достаточные средств. Источником этих средств являются, прежде всего, налоговые и неналоговые поступления от предприятий и организаций реального сектора экономики.</w:t>
      </w:r>
    </w:p>
    <w:p w:rsidR="0095177B" w:rsidRDefault="0095177B" w:rsidP="0095177B">
      <w:pPr>
        <w:spacing w:after="120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  Несмотря на ряд мер, предпринятых администрацией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 </w:t>
      </w:r>
    </w:p>
    <w:p w:rsidR="0095177B" w:rsidRDefault="0095177B" w:rsidP="0095177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Налоговая политика в сельском поселении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  <w:r>
        <w:rPr>
          <w:rFonts w:ascii="Times New Roman" w:hAnsi="Times New Roman"/>
          <w:color w:val="3C3C3C"/>
          <w:sz w:val="28"/>
          <w:szCs w:val="28"/>
        </w:rPr>
        <w:br/>
        <w:t>- совершенствование налогообложения имущества физических лиц;</w:t>
      </w:r>
      <w:r>
        <w:rPr>
          <w:rFonts w:ascii="Times New Roman" w:hAnsi="Times New Roman"/>
          <w:color w:val="3C3C3C"/>
          <w:sz w:val="28"/>
          <w:szCs w:val="28"/>
        </w:rPr>
        <w:br/>
        <w:t>- ежегодная индексация ставок акцизов на нефтепродукты;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- оптимизация льгот, предоставленных местным законодательством, по налогам, подлежащим зачислению в бюджет сельского поселения.  </w:t>
      </w:r>
      <w:proofErr w:type="gramEnd"/>
    </w:p>
    <w:p w:rsidR="0095177B" w:rsidRDefault="0095177B" w:rsidP="0095177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Объем поступлений в бюджет во многом зависит от состояния экономической среды. Если эта среда развивается стабильно, то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юджет поступает больше.</w:t>
      </w:r>
    </w:p>
    <w:p w:rsidR="0095177B" w:rsidRDefault="0095177B" w:rsidP="009517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Приоритетом в области налоговой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политики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предстоящее трехлетие останется создание эффективной и стабильной налоговой системы, обеспечивающей бюджетную устойчивость в среднесрочной и долгосрочной перспективе </w:t>
      </w:r>
    </w:p>
    <w:p w:rsidR="0095177B" w:rsidRDefault="0095177B" w:rsidP="0095177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рамках проводимой налоговой политики основными источниками повышения доходного потенциала взимаемых налогов должно стать как повышение налоговых ставок, изменение правил исчисления и уплаты отдельных налогов, так и принятие мер в области налогового администрирования. При этом в первую очередь, будут приниматься меры для повышения доходов бюджетной системы от налогообложения потребления, ренты, возникшей при добыче природных ресурсов, а также от перехода к новой системе налогообложения недвижимого имущества. Отдельными направлениями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95177B" w:rsidRDefault="0095177B" w:rsidP="0095177B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налоговой политики на 2020 год учтены положения действующих ранее и принятых в текущем году федеральных и областных законов.</w:t>
      </w:r>
    </w:p>
    <w:p w:rsidR="0095177B" w:rsidRDefault="0095177B" w:rsidP="0095177B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дополнительные предложения по установлению освобождения от налогообложения отдельных видов доходов или предоставлению налоговых вычетов при осуществлении социально значимых расходов (в частности, при оплате медицинских услуг).</w:t>
      </w:r>
    </w:p>
    <w:p w:rsidR="0095177B" w:rsidRDefault="0095177B" w:rsidP="0095177B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мер, способствующих поступлению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дополнитель-ных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 в бюджетную систему налоговых платежей, является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совер-шенствование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администрирования.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части улучшения налогового администрирования предстоит руководствоваться Федеральным законом        от 27 июня 2010 года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штрафов и некоторых иных вопросов налогового администрирования», который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правового регулирования порядка учета организаций и физических лиц в налоговых органах, порядка предоставления отсрочки (рассрочки) по уплате налогов, сборов, пеней и штрафов, инвестиционного налогового кредита, порядка списания недоимки и задолженности по пеням и штрафам, признанных безнадежными к взысканию, мер ответственности за налоговые правонарушения, а также иных вопросов налогового администрирования.</w:t>
      </w:r>
      <w:proofErr w:type="gramEnd"/>
    </w:p>
    <w:p w:rsidR="0095177B" w:rsidRDefault="0095177B" w:rsidP="0095177B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95177B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2B4"/>
    <w:multiLevelType w:val="hybridMultilevel"/>
    <w:tmpl w:val="714258D8"/>
    <w:lvl w:ilvl="0" w:tplc="B112A1E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1E"/>
    <w:rsid w:val="005470FA"/>
    <w:rsid w:val="0095177B"/>
    <w:rsid w:val="00C67402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2020-01-14T05:02:00Z</dcterms:created>
  <dcterms:modified xsi:type="dcterms:W3CDTF">2020-01-14T05:02:00Z</dcterms:modified>
</cp:coreProperties>
</file>