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BA" w:rsidRPr="007313BA" w:rsidRDefault="007313BA" w:rsidP="007313BA">
      <w:pPr>
        <w:shd w:val="clear" w:color="auto" w:fill="FFFFFF"/>
        <w:spacing w:after="240" w:line="336" w:lineRule="atLeast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noProof/>
          <w:color w:val="0000FF"/>
          <w:spacing w:val="-12"/>
          <w:sz w:val="25"/>
          <w:szCs w:val="25"/>
          <w:lang w:eastAsia="ru-RU"/>
        </w:rPr>
        <w:drawing>
          <wp:inline distT="0" distB="0" distL="0" distR="0" wp14:anchorId="64B406FB" wp14:editId="697CAF5C">
            <wp:extent cx="1905000" cy="1485900"/>
            <wp:effectExtent l="0" t="0" r="0" b="0"/>
            <wp:docPr id="1" name="Рисунок 1" descr="Документы">
              <a:hlinkClick xmlns:a="http://schemas.openxmlformats.org/drawingml/2006/main" r:id="rId6" tooltip="&quot;Документ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окументы">
                      <a:hlinkClick r:id="rId6" tooltip="&quot;Документ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7313BA" w:rsidRPr="001F0ACA" w:rsidRDefault="007313BA" w:rsidP="007313BA">
      <w:pPr>
        <w:shd w:val="clear" w:color="auto" w:fill="FFFFFF"/>
        <w:spacing w:after="240" w:line="336" w:lineRule="atLeast"/>
        <w:jc w:val="center"/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</w:pPr>
      <w:r w:rsidRPr="001F0ACA"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  <w:t xml:space="preserve">Информация о состоянии окружающей среды и об использовании природных ресурсов на территории муниципального образования </w:t>
      </w:r>
      <w:proofErr w:type="spellStart"/>
      <w:r w:rsidRPr="001F0ACA"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  <w:t>Мочегаевский</w:t>
      </w:r>
      <w:proofErr w:type="spellEnd"/>
      <w:r w:rsidRPr="001F0ACA"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  <w:t xml:space="preserve"> сельсовет </w:t>
      </w:r>
      <w:proofErr w:type="spellStart"/>
      <w:r w:rsidRPr="001F0ACA"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  <w:t>Асекеевского</w:t>
      </w:r>
      <w:proofErr w:type="spellEnd"/>
      <w:r w:rsidRPr="001F0ACA"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  <w:t xml:space="preserve"> района Оренбургской области</w:t>
      </w:r>
    </w:p>
    <w:p w:rsidR="001F0ACA" w:rsidRPr="001F0ACA" w:rsidRDefault="001F0ACA" w:rsidP="007313BA">
      <w:pPr>
        <w:shd w:val="clear" w:color="auto" w:fill="FFFFFF"/>
        <w:spacing w:after="240" w:line="336" w:lineRule="atLeast"/>
        <w:jc w:val="center"/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</w:pPr>
      <w:r w:rsidRPr="001F0ACA">
        <w:rPr>
          <w:rFonts w:ascii="Tahoma" w:eastAsia="Times New Roman" w:hAnsi="Tahoma" w:cs="Tahoma"/>
          <w:b/>
          <w:color w:val="333333"/>
          <w:sz w:val="40"/>
          <w:szCs w:val="40"/>
          <w:lang w:eastAsia="ru-RU"/>
        </w:rPr>
        <w:t>за 2024 год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 целом экологическая ситуация на территории МО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Мочегаевский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сельсовет благоприятная. На территории муниципального образования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Основными источниками загрязнения окружающей среды в муниципальном образовании являются автотранспорт, твёрдые коммунальные отходы (далее ТКО), отходы от деятельности сельскохозяйственного предприятия.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Решена проблема сбора и утилизации бытовых отходов. На территории муниципа</w:t>
      </w:r>
      <w:r w:rsidR="00087629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льного образования установлено </w:t>
      </w:r>
      <w:r w:rsidR="001F0AC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8 </w:t>
      </w:r>
      <w:bookmarkStart w:id="0" w:name="_GoBack"/>
      <w:bookmarkEnd w:id="0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контейнеров для сбора ТКО. Вывоз твердых коммунальных отходов осуществляет  оператор   ООО « Природа».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Автодорожная сеть на территории поселения представлена участками межмуниципального значения и сетью автодорог общего пользования местного значения.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автомобильных дорог.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На территории муниципального образования имеются действующие объекты специального назначения – скотомогильники, а также свалки твердых коммунальных отходов.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На территории муниципального образования водопроводов нет. Снабжение население чистой питьевой водой  происходит из собственных скважин. Запасов подземных вод достаточно для обеспечения чистой водой жителей всех населенных пунктов муниципального образования. 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Для решения проблем по благоустройству населенных пунктов </w:t>
      </w:r>
      <w:r w:rsidRPr="007313BA">
        <w:rPr>
          <w:rFonts w:ascii="Tahoma" w:eastAsia="Times New Roman" w:hAnsi="Tahoma" w:cs="Tahoma"/>
          <w:color w:val="666666"/>
          <w:sz w:val="19"/>
          <w:u w:val="single"/>
          <w:lang w:eastAsia="ru-RU"/>
        </w:rPr>
        <w:t xml:space="preserve">Решение Совета депутатов муниципального образования </w:t>
      </w:r>
      <w:proofErr w:type="spellStart"/>
      <w:r w:rsidRPr="007313BA">
        <w:rPr>
          <w:rFonts w:ascii="Tahoma" w:eastAsia="Times New Roman" w:hAnsi="Tahoma" w:cs="Tahoma"/>
          <w:color w:val="666666"/>
          <w:sz w:val="19"/>
          <w:u w:val="single"/>
          <w:lang w:eastAsia="ru-RU"/>
        </w:rPr>
        <w:t>Мочегаевский</w:t>
      </w:r>
      <w:proofErr w:type="spellEnd"/>
      <w:r w:rsidRPr="007313BA">
        <w:rPr>
          <w:rFonts w:ascii="Tahoma" w:eastAsia="Times New Roman" w:hAnsi="Tahoma" w:cs="Tahoma"/>
          <w:color w:val="666666"/>
          <w:sz w:val="19"/>
          <w:u w:val="single"/>
          <w:lang w:eastAsia="ru-RU"/>
        </w:rPr>
        <w:t xml:space="preserve"> сельсовет от 06.05.2019 № 87 </w:t>
      </w: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 утверждены  Правила благоустройства территории муниципального образования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Мочегаевский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сельсовет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Асекеевского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района Оренбургской области. Вышеуказанный нормативный правовой акт размещен на сайте администрации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Мочегаевского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сельсовета 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Администрацией сельского поселения проводятся месячники по уборке территорий населенных пунктов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Особые микроклиматические условия муниципального образования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Мочегаевский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сельсовет создают благоприятные условия для произрастания здесь большинства деревьев, кустарников. В качестве основных зелёных насаждений в МО выступают лесополосы, которые, к тому же выполняют экологические функции зелёной зоны.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7313BA" w:rsidRPr="007313BA" w:rsidRDefault="007313BA" w:rsidP="007313BA">
      <w:pPr>
        <w:shd w:val="clear" w:color="auto" w:fill="FFFFFF"/>
        <w:spacing w:after="0" w:line="240" w:lineRule="auto"/>
        <w:jc w:val="both"/>
        <w:outlineLvl w:val="2"/>
        <w:rPr>
          <w:rFonts w:ascii="Tahoma" w:eastAsia="Times New Roman" w:hAnsi="Tahoma" w:cs="Tahoma"/>
          <w:b/>
          <w:color w:val="666666"/>
          <w:sz w:val="25"/>
          <w:szCs w:val="25"/>
          <w:lang w:eastAsia="ru-RU"/>
        </w:rPr>
      </w:pPr>
      <w:r w:rsidRPr="007313BA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  </w:t>
      </w:r>
      <w:r w:rsidRPr="007313BA">
        <w:rPr>
          <w:rFonts w:ascii="Tahoma" w:eastAsia="Times New Roman" w:hAnsi="Tahoma" w:cs="Tahoma"/>
          <w:b/>
          <w:color w:val="666666"/>
          <w:sz w:val="25"/>
          <w:szCs w:val="25"/>
          <w:lang w:eastAsia="ru-RU"/>
        </w:rPr>
        <w:t>Комплекс мероприятий по охране окружающей среды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 Генеральным планом предусмотрены следующие основные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градоэкологические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мероприятия: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1.Перспективное развитие селитебной и рекреационной зон муниципального образования планируется на наиболее благоприятных в экологическом отношении территориях.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2.Улучшение качества атмосферного воздуха в жилой зоне достигается за счет: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разработки проектов санитарно-защитных зон промышленных, коммунальных объектов и ферм КРС, озеленения санитарно-защитных зон;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создание зеленых защитных полос вдоль автомобильных дорог;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озеленение и благоустройство населенных пунктов.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3.Разработка комплекса мероприятий по охране водных ресурсов, включающего следующие аспекты: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строительство очистных сооружений;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введение полной биологической очистки сточных вод;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-        запрещение строительства по берегам рек, озер агропромышленных комплексов.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        озеленение и благоустройства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водоохранных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зон.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4.Обеспечение населения питьевой водой, соответствующей санитарно-гигиеническим нормативам за счет: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расширения водозаборов;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выявления и подготовки к эксплуатации новых и находящихся в резерве месторождений пресных подземных вод.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 Снижение загрязнения почв предусмотрено за счет: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выявление всех несанкционированных свалок и их рекультивация.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обеспечение отдельного сбора и сдачи на переработку или захоронение токсичных отходов (1 и 2 классов опасности).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заключение договора на сдачу вторичного сырья для дальнейшей переработки.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восстановление почвенного плодородия, обеспечение прироста гумуса, проведение мелиоративных работ в поселении;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        озеленение оврагов в целях укрепление грунтов и предотвращению их дальнейшего развития.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6. Планируется новое «зеленое строительство», которое позволит сформировать «экологический каркас» поселения и </w:t>
      </w:r>
      <w:proofErr w:type="gram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обеспечить нормативную потребность в</w:t>
      </w:r>
      <w:proofErr w:type="gram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зеленых насаждениях общего пользования.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7. Организация комплексной системы экологического мониторинга наблюдений за состоянием атмосферы, водных ресурсов, почвенного покрова, зеленых насаждений.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</w:t>
      </w:r>
    </w:p>
    <w:p w:rsidR="007313BA" w:rsidRPr="007313BA" w:rsidRDefault="007313BA" w:rsidP="007313BA">
      <w:pPr>
        <w:pBdr>
          <w:left w:val="single" w:sz="48" w:space="12" w:color="CCCCCC"/>
        </w:pBdr>
        <w:shd w:val="clear" w:color="auto" w:fill="EEEEEE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313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Развитие инженерной инфраструктуры</w:t>
      </w:r>
    </w:p>
    <w:p w:rsidR="007313BA" w:rsidRPr="007313BA" w:rsidRDefault="007313BA" w:rsidP="007313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</w:pPr>
      <w:r w:rsidRPr="007313BA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>Водоснабжение и водоотведение</w:t>
      </w:r>
    </w:p>
    <w:p w:rsidR="007313BA" w:rsidRPr="007313BA" w:rsidRDefault="007313BA" w:rsidP="007313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</w:pPr>
      <w:r w:rsidRPr="007313BA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>Водоснабжение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u w:val="single"/>
          <w:lang w:eastAsia="ru-RU"/>
        </w:rPr>
        <w:t>Система и схема водоснабжения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В разделе «Водоснабжение и водоотведение» в составе Генерального плана разработаны мероприятия по развитию систем инженерного оборудования поселения, направленные на комплексное инженерное обеспечение жилых районов, модернизацию и реконструкцию устаревших инженерных коммуникаций и головных источников, внедрение политики ресурсосбережения.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u w:val="single"/>
          <w:lang w:eastAsia="ru-RU"/>
        </w:rPr>
        <w:t>Проектные решения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 xml:space="preserve">Потребление воды в жилом секторе всегда было высоким, существующая система водоснабжения, в силу объективных причин, не стимулирует потребителей питьевой воды к более рациональному ее использованию. Сегодня жители оплачивают фиксированный объем воды, независимо </w:t>
      </w:r>
      <w:proofErr w:type="gram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от</w:t>
      </w:r>
      <w:proofErr w:type="gram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фактически потребляемого.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 выполнении комплекса мероприятий, а именно: реконструкция водопроводных сетей, замена арматуры и санитарно-технического оборудования, установка водомеров и др., возможно снижение удельной нормы водопотребления на человека порядка 20-30%.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Учитывая, что в жилом секторе потребляется наибольшее количество воды, мероприятия по рациональному и экономному водопотреблению должны быть ориентированы в первую очередь на этот сектор, для чего необходимо определить и внедрить систему экономического стимулирования.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 настоящем проекте рассматривается развитие систем водоснабжения и водоотведения в зависимости от норм расхода воды, </w:t>
      </w:r>
      <w:proofErr w:type="gram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принимаемым</w:t>
      </w:r>
      <w:proofErr w:type="gram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в соответствии с нормами СНиП 2.04.02-84. В нормы водопотребления включены все расходы воды на хозяйственно-питьевые нужды в жилых и общественных зданиях.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Коэффициент суточной неравномерности водопотребления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</w:t>
      </w:r>
      <w:r w:rsidRPr="007313BA">
        <w:rPr>
          <w:rFonts w:ascii="Tahoma" w:eastAsia="Times New Roman" w:hAnsi="Tahoma" w:cs="Tahoma"/>
          <w:color w:val="333333"/>
          <w:sz w:val="19"/>
          <w:szCs w:val="19"/>
          <w:vertAlign w:val="subscript"/>
          <w:lang w:eastAsia="ru-RU"/>
        </w:rPr>
        <w:t>сут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, учитывающий уклад жизни населения, режим работы предприятий, степень благоустройства зданий, изменения водопотребления по сезонам года и дням недели, принимается равным: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</w:t>
      </w:r>
      <w:r w:rsidRPr="007313BA">
        <w:rPr>
          <w:rFonts w:ascii="Tahoma" w:eastAsia="Times New Roman" w:hAnsi="Tahoma" w:cs="Tahoma"/>
          <w:color w:val="333333"/>
          <w:sz w:val="19"/>
          <w:szCs w:val="19"/>
          <w:vertAlign w:val="subscript"/>
          <w:lang w:eastAsia="ru-RU"/>
        </w:rPr>
        <w:t>сут.min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=0,8;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</w:t>
      </w:r>
      <w:r w:rsidRPr="007313BA">
        <w:rPr>
          <w:rFonts w:ascii="Tahoma" w:eastAsia="Times New Roman" w:hAnsi="Tahoma" w:cs="Tahoma"/>
          <w:color w:val="333333"/>
          <w:sz w:val="19"/>
          <w:szCs w:val="19"/>
          <w:vertAlign w:val="subscript"/>
          <w:lang w:eastAsia="ru-RU"/>
        </w:rPr>
        <w:t>сут.max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=1,2.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Расходы воды для нужд наружного пожаротушения МО </w:t>
      </w:r>
      <w:proofErr w:type="spell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Мочегаевский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сельсовет принимаются в соответствии со СНиП 2.04.02-84. На расчетный срок принято: 1 пожар по 10 л/с. Расход воды на внутреннее пожаротушение 10 л/с. Трехчасовой пожарный запас составляет: (10+10) * 3,6 * 3 = 216 м</w:t>
      </w:r>
      <w:r w:rsidRPr="007313BA">
        <w:rPr>
          <w:rFonts w:ascii="Tahoma" w:eastAsia="Times New Roman" w:hAnsi="Tahoma" w:cs="Tahoma"/>
          <w:color w:val="333333"/>
          <w:sz w:val="19"/>
          <w:szCs w:val="19"/>
          <w:vertAlign w:val="superscript"/>
          <w:lang w:eastAsia="ru-RU"/>
        </w:rPr>
        <w:t>3</w:t>
      </w: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Система и схема водоснабжения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Общий расход питьевой воды на расчетный срок составит 77 м</w:t>
      </w:r>
      <w:r w:rsidRPr="007313BA">
        <w:rPr>
          <w:rFonts w:ascii="Tahoma" w:eastAsia="Times New Roman" w:hAnsi="Tahoma" w:cs="Tahoma"/>
          <w:color w:val="333333"/>
          <w:sz w:val="19"/>
          <w:szCs w:val="19"/>
          <w:vertAlign w:val="superscript"/>
          <w:lang w:eastAsia="ru-RU"/>
        </w:rPr>
        <w:t>3</w:t>
      </w: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/</w:t>
      </w:r>
      <w:proofErr w:type="spellStart"/>
      <w:proofErr w:type="gram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сут</w:t>
      </w:r>
      <w:proofErr w:type="spell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и</w:t>
      </w:r>
      <w:proofErr w:type="gram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будет обеспечиваться от существующих частных колодцев и скважин..</w:t>
      </w:r>
    </w:p>
    <w:p w:rsidR="007313BA" w:rsidRPr="007313BA" w:rsidRDefault="007313BA" w:rsidP="007313B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</w:pPr>
      <w:r w:rsidRPr="007313BA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>Водоотведение</w:t>
      </w:r>
    </w:p>
    <w:p w:rsidR="007313BA" w:rsidRPr="007313BA" w:rsidRDefault="007313BA" w:rsidP="00731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3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Существующее положение в сфере водоотведения МО </w:t>
      </w:r>
      <w:proofErr w:type="spellStart"/>
      <w:r w:rsidRPr="007313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Мочегаевский</w:t>
      </w:r>
      <w:proofErr w:type="spellEnd"/>
      <w:r w:rsidRPr="007313B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7313B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сельсовет</w:t>
      </w:r>
    </w:p>
    <w:p w:rsidR="007313BA" w:rsidRPr="007313BA" w:rsidRDefault="007313BA" w:rsidP="007313BA">
      <w:pPr>
        <w:spacing w:after="0" w:line="240" w:lineRule="auto"/>
        <w:ind w:firstLine="709"/>
        <w:jc w:val="both"/>
        <w:rPr>
          <w:rFonts w:ascii="Tahoma" w:eastAsia="Calibri" w:hAnsi="Tahoma" w:cs="Tahoma"/>
          <w:b/>
          <w:sz w:val="20"/>
          <w:szCs w:val="20"/>
          <w:lang w:eastAsia="ru-RU"/>
        </w:rPr>
      </w:pPr>
    </w:p>
    <w:p w:rsidR="007313BA" w:rsidRPr="007313BA" w:rsidRDefault="007313BA" w:rsidP="007313B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7313BA">
        <w:rPr>
          <w:rFonts w:ascii="Tahoma" w:eastAsia="Calibri" w:hAnsi="Tahoma" w:cs="Tahoma"/>
          <w:sz w:val="20"/>
          <w:szCs w:val="20"/>
          <w:lang w:eastAsia="ru-RU"/>
        </w:rPr>
        <w:t xml:space="preserve">В МО </w:t>
      </w:r>
      <w:proofErr w:type="spellStart"/>
      <w:r w:rsidRPr="007313BA">
        <w:rPr>
          <w:rFonts w:ascii="Tahoma" w:eastAsia="Times New Roman" w:hAnsi="Tahoma" w:cs="Tahoma"/>
          <w:bCs/>
          <w:sz w:val="20"/>
          <w:szCs w:val="20"/>
          <w:lang w:eastAsia="ru-RU"/>
        </w:rPr>
        <w:t>Мочегаевский</w:t>
      </w:r>
      <w:proofErr w:type="spellEnd"/>
      <w:r w:rsidRPr="007313BA">
        <w:rPr>
          <w:rFonts w:ascii="Tahoma" w:eastAsia="Calibri" w:hAnsi="Tahoma" w:cs="Tahoma"/>
          <w:sz w:val="20"/>
          <w:szCs w:val="20"/>
          <w:lang w:eastAsia="ru-RU"/>
        </w:rPr>
        <w:t xml:space="preserve"> сельсовет полностью отсутствует централизованная система водоотведения. Индивидуальные жилые дома оборудованы уборными с накопительными емкостями для приема сточных вод или надворными уборными с последующей утилизацией хозяйственно-фекальных стоков в компостные ямы. Очистка накопительных емкостей и приемных емкостей надворных уборных осуществляется ассенизационной машиной. Категорически запрещено строительство поглощающих ям.</w:t>
      </w:r>
    </w:p>
    <w:p w:rsidR="007313BA" w:rsidRPr="007313BA" w:rsidRDefault="007313BA" w:rsidP="007313BA">
      <w:pPr>
        <w:spacing w:after="0" w:line="240" w:lineRule="auto"/>
        <w:ind w:firstLine="709"/>
        <w:jc w:val="both"/>
        <w:rPr>
          <w:rFonts w:ascii="Tahoma" w:eastAsia="Calibri" w:hAnsi="Tahoma" w:cs="Tahoma"/>
          <w:sz w:val="20"/>
          <w:szCs w:val="20"/>
          <w:lang w:eastAsia="ru-RU"/>
        </w:rPr>
      </w:pPr>
    </w:p>
    <w:p w:rsidR="007313BA" w:rsidRPr="007313BA" w:rsidRDefault="007313BA" w:rsidP="007313BA">
      <w:pPr>
        <w:spacing w:after="0" w:line="240" w:lineRule="auto"/>
        <w:ind w:firstLine="709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7313BA">
        <w:rPr>
          <w:rFonts w:ascii="Tahoma" w:eastAsia="Calibri" w:hAnsi="Tahoma" w:cs="Tahoma"/>
          <w:sz w:val="20"/>
          <w:szCs w:val="20"/>
          <w:lang w:eastAsia="ru-RU"/>
        </w:rPr>
        <w:t xml:space="preserve">В настоящее время МО </w:t>
      </w:r>
      <w:proofErr w:type="spellStart"/>
      <w:r w:rsidRPr="007313BA">
        <w:rPr>
          <w:rFonts w:ascii="Tahoma" w:eastAsia="Times New Roman" w:hAnsi="Tahoma" w:cs="Tahoma"/>
          <w:bCs/>
          <w:sz w:val="20"/>
          <w:szCs w:val="20"/>
          <w:lang w:eastAsia="ru-RU"/>
        </w:rPr>
        <w:t>Мочегаевский</w:t>
      </w:r>
      <w:proofErr w:type="spellEnd"/>
      <w:r w:rsidRPr="007313BA">
        <w:rPr>
          <w:rFonts w:ascii="Tahoma" w:eastAsia="Calibri" w:hAnsi="Tahoma" w:cs="Tahoma"/>
          <w:sz w:val="20"/>
          <w:szCs w:val="20"/>
        </w:rPr>
        <w:t xml:space="preserve"> </w:t>
      </w:r>
      <w:r w:rsidRPr="007313BA">
        <w:rPr>
          <w:rFonts w:ascii="Tahoma" w:eastAsia="Calibri" w:hAnsi="Tahoma" w:cs="Tahoma"/>
          <w:sz w:val="20"/>
          <w:szCs w:val="20"/>
          <w:lang w:eastAsia="ru-RU"/>
        </w:rPr>
        <w:t>сельсовет имеет довольно низкую степень благоустройства в области водоотведения. Требуется организовать место слива канализационных отходов из выгребных ям.</w:t>
      </w:r>
    </w:p>
    <w:p w:rsidR="007313BA" w:rsidRPr="007313BA" w:rsidRDefault="007313BA" w:rsidP="007313BA">
      <w:pPr>
        <w:shd w:val="clear" w:color="auto" w:fill="FFFFFF"/>
        <w:spacing w:after="0" w:line="240" w:lineRule="auto"/>
        <w:jc w:val="both"/>
        <w:outlineLvl w:val="3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</w:p>
    <w:p w:rsidR="007313BA" w:rsidRPr="007313BA" w:rsidRDefault="007313BA" w:rsidP="007313B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7313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lang w:eastAsia="ru-RU"/>
        </w:rPr>
        <w:t>Проектные решения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Расчетные расходы сточных вод, как и расходы воды, определены исходя из степени благоустройства жилой застройки и сохраняемого жилого фонда. При этом удельные нормы водоотведения принимаются </w:t>
      </w:r>
      <w:proofErr w:type="gram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lastRenderedPageBreak/>
        <w:t>равными</w:t>
      </w:r>
      <w:proofErr w:type="gramEnd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нормам водопотребления. </w:t>
      </w:r>
      <w:proofErr w:type="gramStart"/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На основании СНиП 2.04.03-85, удельные нормы водоотведения от жилой и общественной застройки соответствуют принятым нормам водопотребления, приведенным в разделе «Водоснабжение» с учетом понижающего коэффициента в населенных пунктах (поселки и села) –0,6;Неучтенные расходы стоков и прочие расходы приняты в размере 5% от расхода воды на нужды населения.</w:t>
      </w:r>
      <w:proofErr w:type="gramEnd"/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Проектные расходы хозяйственно-бытовых стоков на расчетный срок строительства представлены в нижеследующей таблице. Расходы стоков от промышленных предприятий приняты по данным о существующем водоотведении с ростом на 10% на расчетный срок.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u w:val="single"/>
          <w:lang w:eastAsia="ru-RU"/>
        </w:rPr>
        <w:t>Система и схема канализации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Система канализации принята полная раздельная, при которой хозяйственно-бытовая сеть не прокладывается для отведения стоков от жилой и общественной застройки, а устраивается канализационная яма в каждом дворе.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Производственные сточные воды, не отвечающие требованиям по совместному отведению и очистке с бытовыми стоками, должны подвергаться предварительной очистке.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</w:t>
      </w:r>
    </w:p>
    <w:p w:rsidR="007313BA" w:rsidRPr="007313BA" w:rsidRDefault="007313BA" w:rsidP="007313BA">
      <w:pPr>
        <w:shd w:val="clear" w:color="auto" w:fill="FFFFFF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 </w:t>
      </w:r>
    </w:p>
    <w:p w:rsidR="007313BA" w:rsidRPr="007313BA" w:rsidRDefault="007313BA" w:rsidP="007313BA">
      <w:pPr>
        <w:shd w:val="clear" w:color="auto" w:fill="FFFFFF"/>
        <w:spacing w:after="24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</w:t>
      </w:r>
    </w:p>
    <w:p w:rsidR="007313BA" w:rsidRPr="007313BA" w:rsidRDefault="001F0ACA" w:rsidP="007313BA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FFFFFF"/>
        <w:spacing w:line="240" w:lineRule="auto"/>
        <w:jc w:val="both"/>
        <w:outlineLvl w:val="1"/>
        <w:rPr>
          <w:rFonts w:ascii="Tahoma" w:eastAsia="Times New Roman" w:hAnsi="Tahoma" w:cs="Tahoma"/>
          <w:color w:val="666666"/>
          <w:spacing w:val="-12"/>
          <w:sz w:val="25"/>
          <w:szCs w:val="25"/>
          <w:lang w:eastAsia="ru-RU"/>
        </w:rPr>
      </w:pPr>
      <w:hyperlink r:id="rId8" w:tooltip="Документы" w:history="1">
        <w:r w:rsidR="007313BA" w:rsidRPr="007313BA">
          <w:rPr>
            <w:rFonts w:ascii="Tahoma" w:eastAsia="Times New Roman" w:hAnsi="Tahoma" w:cs="Tahoma"/>
            <w:noProof/>
            <w:color w:val="0000FF"/>
            <w:spacing w:val="-12"/>
            <w:sz w:val="25"/>
            <w:szCs w:val="25"/>
            <w:lang w:eastAsia="ru-RU"/>
          </w:rPr>
          <w:drawing>
            <wp:inline distT="0" distB="0" distL="0" distR="0" wp14:anchorId="6F605701" wp14:editId="5DF6A17F">
              <wp:extent cx="1905000" cy="1485900"/>
              <wp:effectExtent l="0" t="0" r="0" b="0"/>
              <wp:docPr id="2" name="Рисунок 2" descr="Документы">
                <a:hlinkClick xmlns:a="http://schemas.openxmlformats.org/drawingml/2006/main" r:id="rId8" tooltip="&quot;Документы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Документы">
                        <a:hlinkClick r:id="rId8" tooltip="&quot;Документы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313BA" w:rsidRPr="007313BA">
          <w:rPr>
            <w:rFonts w:ascii="Tahoma" w:eastAsia="Times New Roman" w:hAnsi="Tahoma" w:cs="Tahoma"/>
            <w:color w:val="FFFFFF"/>
            <w:spacing w:val="-12"/>
            <w:u w:val="single"/>
            <w:lang w:eastAsia="ru-RU"/>
          </w:rPr>
          <w:t>Документы</w:t>
        </w:r>
      </w:hyperlink>
    </w:p>
    <w:p w:rsidR="007313BA" w:rsidRPr="007313BA" w:rsidRDefault="007313BA" w:rsidP="007313B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313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313BA" w:rsidRPr="007313BA" w:rsidRDefault="007313BA" w:rsidP="007313BA">
      <w:pPr>
        <w:shd w:val="clear" w:color="auto" w:fill="FFFFFF"/>
        <w:spacing w:after="0" w:line="240" w:lineRule="auto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r w:rsidRPr="007313BA">
        <w:rPr>
          <w:rFonts w:ascii="Tahoma" w:eastAsia="Times New Roman" w:hAnsi="Tahoma" w:cs="Tahoma"/>
          <w:color w:val="676767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8.35pt;height:18pt" o:ole="">
            <v:imagedata r:id="rId9" o:title=""/>
          </v:shape>
          <w:control r:id="rId10" w:name="DefaultOcxName" w:shapeid="_x0000_i1031"/>
        </w:object>
      </w:r>
      <w:r w:rsidRPr="007313BA">
        <w:rPr>
          <w:rFonts w:ascii="Tahoma" w:eastAsia="Times New Roman" w:hAnsi="Tahoma" w:cs="Tahoma"/>
          <w:color w:val="676767"/>
          <w:sz w:val="19"/>
          <w:szCs w:val="19"/>
        </w:rPr>
        <w:object w:dxaOrig="225" w:dyaOrig="225">
          <v:shape id="_x0000_i1033" type="#_x0000_t75" style="width:35.25pt;height:22.4pt" o:ole="">
            <v:imagedata r:id="rId11" o:title=""/>
          </v:shape>
          <w:control r:id="rId12" w:name="DefaultOcxName1" w:shapeid="_x0000_i1033"/>
        </w:object>
      </w:r>
    </w:p>
    <w:p w:rsidR="007313BA" w:rsidRPr="007313BA" w:rsidRDefault="007313BA" w:rsidP="007313BA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313B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3" w:tooltip="Объявления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Объявления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4" w:tooltip="Муниципальное образование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Муниципальное образование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5" w:tooltip="Нормативно-правовые акты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Нормативно-правовые акты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6" w:tooltip="Противодействие коррупции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Противодействие коррупции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7" w:tooltip="Муниципальная служба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Муниципальная служба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8" w:tooltip="Инициативное бюджетирование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Инициативное бюджетирование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19" w:tooltip="Экономика и финансы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Экономика и финансы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0" w:tooltip="Субъекты малого и среднего предпринимательства 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Субъекты малого и среднего предпринимательства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1" w:tooltip="Благоустройство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Благоустройство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2" w:tooltip="Градостроительство и землепользование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Градостроительство и землепользование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3" w:tooltip="Жилищно - коммунальное хозяйство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Жилищно - коммунальное хозяйство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4" w:tooltip="Безопасность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Безопасность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5" w:tooltip="Социальная политика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Социальная политика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6" w:tooltip="Регламенты. Положения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Регламенты. Положения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7" w:tooltip="Муниципальные услуги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Муниципальные услуги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8" w:tooltip="Муниципальный контроль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Муниципальный контроль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29" w:tooltip="Муниципальное имущество и земельные отношения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Муниципальное имущество и земельные отношения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30" w:tooltip="Выявление правообладателей ранее учтенных объектов недвижимости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Выявление правообладателей ранее учтенных объектов недвижимости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31" w:tooltip="Всероссийская перепись населения 2020 г.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Всероссийская перепись населения 2020 г.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32" w:tooltip="Охрана окружающей среды" w:history="1">
        <w:r w:rsidR="007313BA" w:rsidRPr="007313BA">
          <w:rPr>
            <w:rFonts w:ascii="Tahoma" w:eastAsia="Times New Roman" w:hAnsi="Tahoma" w:cs="Tahoma"/>
            <w:color w:val="FFFFFF"/>
            <w:sz w:val="23"/>
            <w:u w:val="single"/>
            <w:lang w:eastAsia="ru-RU"/>
          </w:rPr>
          <w:t>Охрана окружающей среды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33" w:tooltip="Прокурор разъясняет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Прокурор разъясняет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34" w:tooltip="Публичные слушания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Публичные слушания</w:t>
        </w:r>
      </w:hyperlink>
    </w:p>
    <w:p w:rsidR="007313BA" w:rsidRPr="007313BA" w:rsidRDefault="001F0ACA" w:rsidP="007313BA">
      <w:pPr>
        <w:numPr>
          <w:ilvl w:val="0"/>
          <w:numId w:val="1"/>
        </w:numPr>
        <w:shd w:val="clear" w:color="auto" w:fill="FFFFFF"/>
        <w:spacing w:after="0" w:line="300" w:lineRule="atLeast"/>
        <w:ind w:left="-14061"/>
        <w:jc w:val="both"/>
        <w:rPr>
          <w:rFonts w:ascii="Tahoma" w:eastAsia="Times New Roman" w:hAnsi="Tahoma" w:cs="Tahoma"/>
          <w:color w:val="676767"/>
          <w:sz w:val="19"/>
          <w:szCs w:val="19"/>
          <w:lang w:eastAsia="ru-RU"/>
        </w:rPr>
      </w:pPr>
      <w:hyperlink r:id="rId35" w:tooltip="Фотогалерея" w:history="1">
        <w:r w:rsidR="007313BA" w:rsidRPr="007313BA">
          <w:rPr>
            <w:rFonts w:ascii="Tahoma" w:eastAsia="Times New Roman" w:hAnsi="Tahoma" w:cs="Tahoma"/>
            <w:color w:val="333333"/>
            <w:sz w:val="23"/>
            <w:u w:val="single"/>
            <w:lang w:eastAsia="ru-RU"/>
          </w:rPr>
          <w:t>Фотогалерея</w:t>
        </w:r>
      </w:hyperlink>
    </w:p>
    <w:p w:rsidR="007313BA" w:rsidRPr="007313BA" w:rsidRDefault="007313BA" w:rsidP="007313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9A9A9A"/>
          <w:sz w:val="15"/>
          <w:szCs w:val="15"/>
          <w:lang w:eastAsia="ru-RU"/>
        </w:rPr>
      </w:pPr>
      <w:r w:rsidRPr="007313BA">
        <w:rPr>
          <w:rFonts w:ascii="Tahoma" w:eastAsia="Times New Roman" w:hAnsi="Tahoma" w:cs="Tahoma"/>
          <w:color w:val="9A9A9A"/>
          <w:sz w:val="15"/>
          <w:szCs w:val="15"/>
          <w:lang w:eastAsia="ru-RU"/>
        </w:rPr>
        <w:t>|</w:t>
      </w:r>
    </w:p>
    <w:p w:rsidR="007313BA" w:rsidRPr="007313BA" w:rsidRDefault="007313BA" w:rsidP="007313BA">
      <w:pPr>
        <w:spacing w:after="72" w:line="240" w:lineRule="auto"/>
        <w:jc w:val="both"/>
        <w:rPr>
          <w:rFonts w:ascii="Tahoma" w:eastAsia="Times New Roman" w:hAnsi="Tahoma" w:cs="Tahoma"/>
          <w:color w:val="FFFFFF"/>
          <w:sz w:val="20"/>
          <w:szCs w:val="20"/>
          <w:lang w:eastAsia="ru-RU"/>
        </w:rPr>
      </w:pPr>
      <w:r w:rsidRPr="007313BA">
        <w:rPr>
          <w:rFonts w:ascii="Tahoma" w:eastAsia="Times New Roman" w:hAnsi="Tahoma" w:cs="Tahoma"/>
          <w:color w:val="FFFFFF"/>
          <w:sz w:val="20"/>
          <w:szCs w:val="20"/>
          <w:lang w:eastAsia="ru-RU"/>
        </w:rPr>
        <w:t>Для того</w:t>
      </w:r>
      <w:proofErr w:type="gramStart"/>
      <w:r w:rsidRPr="007313BA">
        <w:rPr>
          <w:rFonts w:ascii="Tahoma" w:eastAsia="Times New Roman" w:hAnsi="Tahoma" w:cs="Tahoma"/>
          <w:color w:val="FFFFFF"/>
          <w:sz w:val="20"/>
          <w:szCs w:val="20"/>
          <w:lang w:eastAsia="ru-RU"/>
        </w:rPr>
        <w:t>,</w:t>
      </w:r>
      <w:proofErr w:type="gramEnd"/>
      <w:r w:rsidRPr="007313BA">
        <w:rPr>
          <w:rFonts w:ascii="Tahoma" w:eastAsia="Times New Roman" w:hAnsi="Tahoma" w:cs="Tahoma"/>
          <w:color w:val="FFFFFF"/>
          <w:sz w:val="20"/>
          <w:szCs w:val="20"/>
          <w:lang w:eastAsia="ru-RU"/>
        </w:rPr>
        <w:t xml:space="preserve"> чтобы мы могли качественно предоставить Вам услуги, мы используем </w:t>
      </w:r>
      <w:proofErr w:type="spellStart"/>
      <w:r w:rsidRPr="007313BA">
        <w:rPr>
          <w:rFonts w:ascii="Tahoma" w:eastAsia="Times New Roman" w:hAnsi="Tahoma" w:cs="Tahoma"/>
          <w:color w:val="FFFFFF"/>
          <w:sz w:val="20"/>
          <w:szCs w:val="20"/>
          <w:lang w:eastAsia="ru-RU"/>
        </w:rPr>
        <w:t>cookies</w:t>
      </w:r>
      <w:proofErr w:type="spellEnd"/>
      <w:r w:rsidRPr="007313BA">
        <w:rPr>
          <w:rFonts w:ascii="Tahoma" w:eastAsia="Times New Roman" w:hAnsi="Tahoma" w:cs="Tahoma"/>
          <w:color w:val="FFFFFF"/>
          <w:sz w:val="20"/>
          <w:szCs w:val="20"/>
          <w:lang w:eastAsia="ru-RU"/>
        </w:rPr>
        <w:t>, которые сохраняются на Вашем компьютере. </w:t>
      </w:r>
    </w:p>
    <w:p w:rsidR="007313BA" w:rsidRPr="007313BA" w:rsidRDefault="007313BA" w:rsidP="007313BA">
      <w:pPr>
        <w:jc w:val="both"/>
        <w:rPr>
          <w:rFonts w:ascii="Calibri" w:eastAsia="Times New Roman" w:hAnsi="Calibri" w:cs="Times New Roman"/>
          <w:lang w:eastAsia="ru-RU"/>
        </w:rPr>
      </w:pPr>
    </w:p>
    <w:p w:rsidR="007313BA" w:rsidRPr="007313BA" w:rsidRDefault="007313BA" w:rsidP="007313BA">
      <w:pPr>
        <w:rPr>
          <w:rFonts w:ascii="Calibri" w:eastAsia="Times New Roman" w:hAnsi="Calibri" w:cs="Times New Roman"/>
          <w:lang w:eastAsia="ru-RU"/>
        </w:rPr>
      </w:pPr>
    </w:p>
    <w:p w:rsidR="00513643" w:rsidRDefault="00513643"/>
    <w:sectPr w:rsidR="005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F1F"/>
    <w:multiLevelType w:val="multilevel"/>
    <w:tmpl w:val="D46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7C"/>
    <w:rsid w:val="00087629"/>
    <w:rsid w:val="001F0ACA"/>
    <w:rsid w:val="00513643"/>
    <w:rsid w:val="007313BA"/>
    <w:rsid w:val="007A6E68"/>
    <w:rsid w:val="00E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stud56.ru/obyavleniya" TargetMode="External"/><Relationship Id="rId18" Type="http://schemas.openxmlformats.org/officeDocument/2006/relationships/hyperlink" Target="https://admstud56.ru/perechen-informacionnyh-sistem" TargetMode="External"/><Relationship Id="rId26" Type="http://schemas.openxmlformats.org/officeDocument/2006/relationships/hyperlink" Target="https://admstud56.ru/reglamenty-polozheniya" TargetMode="External"/><Relationship Id="rId21" Type="http://schemas.openxmlformats.org/officeDocument/2006/relationships/hyperlink" Target="https://admstud56.ru/blagoustroistvo" TargetMode="External"/><Relationship Id="rId34" Type="http://schemas.openxmlformats.org/officeDocument/2006/relationships/hyperlink" Target="https://admstud56.ru/publichnye-slushaniya-1" TargetMode="Externa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hyperlink" Target="https://admstud56.ru/municipalnaya-sluzhba" TargetMode="External"/><Relationship Id="rId25" Type="http://schemas.openxmlformats.org/officeDocument/2006/relationships/hyperlink" Target="https://admstud56.ru/socialnaya-politika" TargetMode="External"/><Relationship Id="rId33" Type="http://schemas.openxmlformats.org/officeDocument/2006/relationships/hyperlink" Target="https://admstud56.ru/prokuror-razyasnya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stud56.ru/protivodeistvie-korrupcii" TargetMode="External"/><Relationship Id="rId20" Type="http://schemas.openxmlformats.org/officeDocument/2006/relationships/hyperlink" Target="https://admstud56.ru/ekonomika" TargetMode="External"/><Relationship Id="rId29" Type="http://schemas.openxmlformats.org/officeDocument/2006/relationships/hyperlink" Target="https://admstud56.ru/municipalnoe-imuschestvo-i-zemelnye-otnosheni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stud56.ru/ohrana-okruzhayuschei-sredy/dokumenty" TargetMode="External"/><Relationship Id="rId11" Type="http://schemas.openxmlformats.org/officeDocument/2006/relationships/image" Target="media/image3.wmf"/><Relationship Id="rId24" Type="http://schemas.openxmlformats.org/officeDocument/2006/relationships/hyperlink" Target="https://admstud56.ru/bezopasnost" TargetMode="External"/><Relationship Id="rId32" Type="http://schemas.openxmlformats.org/officeDocument/2006/relationships/hyperlink" Target="https://admstud56.ru/ohrana-okruzhayuschei-sred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mstud56.ru/normativno-pravovye-akty" TargetMode="External"/><Relationship Id="rId23" Type="http://schemas.openxmlformats.org/officeDocument/2006/relationships/hyperlink" Target="https://admstud56.ru/zhilischno-kommunalnoe-hozyaistvo" TargetMode="External"/><Relationship Id="rId28" Type="http://schemas.openxmlformats.org/officeDocument/2006/relationships/hyperlink" Target="https://admstud56.ru/municipalnye-zakupki" TargetMode="Externa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s://admstud56.ru/finansy" TargetMode="External"/><Relationship Id="rId31" Type="http://schemas.openxmlformats.org/officeDocument/2006/relationships/hyperlink" Target="https://admstud56.ru/vserossiiskaya-perepis-naseleniya-2020-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admstud56.ru/novosti" TargetMode="External"/><Relationship Id="rId22" Type="http://schemas.openxmlformats.org/officeDocument/2006/relationships/hyperlink" Target="https://admstud56.ru/gradostroitelstvo-i-zemlepolzovanie" TargetMode="External"/><Relationship Id="rId27" Type="http://schemas.openxmlformats.org/officeDocument/2006/relationships/hyperlink" Target="https://admstud56.ru/municipalnye-uslugi" TargetMode="External"/><Relationship Id="rId30" Type="http://schemas.openxmlformats.org/officeDocument/2006/relationships/hyperlink" Target="https://admstud56.ru/vyyavlenie-pravoobladatelei-ranee-uchtennyh-obektov-nedvizhimosti" TargetMode="External"/><Relationship Id="rId35" Type="http://schemas.openxmlformats.org/officeDocument/2006/relationships/hyperlink" Target="https://admstud56.ru/fotogalereya" TargetMode="External"/><Relationship Id="rId8" Type="http://schemas.openxmlformats.org/officeDocument/2006/relationships/hyperlink" Target="https://admstud56.ru/ohrana-okruzhayuschei-sredy/dokumenty" TargetMode="Externa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1908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9</cp:revision>
  <dcterms:created xsi:type="dcterms:W3CDTF">2026-01-30T05:15:00Z</dcterms:created>
  <dcterms:modified xsi:type="dcterms:W3CDTF">2026-01-30T06:24:00Z</dcterms:modified>
</cp:coreProperties>
</file>